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Didot" w:cs="Arial Unicode MS" w:hAnsi="Arial Unicode MS" w:eastAsia="Arial Unicode MS"/>
          <w:rtl w:val="0"/>
        </w:rPr>
        <w:t>VTPBiS Quarterly Report</w:t>
      </w:r>
    </w:p>
    <w:p>
      <w:pPr>
        <w:pStyle w:val="Subtitle"/>
        <w:bidi w:val="0"/>
      </w:pPr>
      <w:r>
        <w:rPr>
          <w:rFonts w:ascii="Helvetica" w:cs="Arial Unicode MS" w:hAnsi="Arial Unicode MS" w:eastAsia="Arial Unicode MS"/>
          <w:rtl w:val="0"/>
        </w:rPr>
        <w:t>April 2015</w:t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</w:rPr>
        <w:t>Context: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 xml:space="preserve">In March, </w:t>
      </w:r>
      <w:r>
        <w:rPr>
          <w:rFonts w:ascii="Palatino"/>
          <w:rtl w:val="0"/>
          <w:lang w:val="en-US"/>
        </w:rPr>
        <w:t xml:space="preserve">ten Vermont </w:t>
      </w:r>
      <w:r>
        <w:rPr>
          <w:rFonts w:ascii="Palatino"/>
          <w:rtl w:val="0"/>
          <w:lang w:val="en-US"/>
        </w:rPr>
        <w:t>schools received training</w:t>
      </w:r>
      <w:r>
        <w:rPr>
          <w:rFonts w:ascii="Palatino"/>
          <w:rtl w:val="0"/>
          <w:lang w:val="en-US"/>
        </w:rPr>
        <w:t xml:space="preserve"> at the following Tiers:</w:t>
      </w:r>
    </w:p>
    <w:p>
      <w:pPr>
        <w:pStyle w:val="Free Form"/>
        <w:numPr>
          <w:ilvl w:val="2"/>
          <w:numId w:val="2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Universal:  Barre Town Elementary/Middle and St. Albans Town</w:t>
      </w:r>
    </w:p>
    <w:p>
      <w:pPr>
        <w:pStyle w:val="Free Form"/>
        <w:numPr>
          <w:ilvl w:val="2"/>
          <w:numId w:val="3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Targeted:  East Montpelier, Fletcher, Summit, Oak Grove</w:t>
      </w:r>
    </w:p>
    <w:p>
      <w:pPr>
        <w:pStyle w:val="Free Form"/>
        <w:numPr>
          <w:ilvl w:val="2"/>
          <w:numId w:val="4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Intensive:  Bristol, Castleton, Bethel, Bensen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>During this quarter, All VTPBiS schools were expected to com</w:t>
      </w: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1795779</wp:posOffset>
                </wp:positionV>
                <wp:extent cx="6303685" cy="254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685" cy="25400"/>
                          <a:chOff x="0" y="0"/>
                          <a:chExt cx="6303684" cy="25400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2540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9525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303685" cy="0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008CB4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7.6pt;margin-top:141.4pt;width:496.4pt;height: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6303685,25400">
                <w10:wrap type="none" side="bothSides" anchorx="page" anchory="page"/>
                <v:line id="_x0000_s1027" style="position:absolute;left:0;top:25400;width:6303685;height:0;">
                  <v:fill on="f"/>
    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  </v:line>
                <v:line id="_x0000_s1028" style="position:absolute;left:0;top:0;width:6303685;height:0;">
                  <v:fill on="f"/>
                  <v:stroke filltype="solid" color="#008CB4" opacity="100.0%" weight="1.0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Palatino"/>
          <w:rtl w:val="0"/>
          <w:lang w:val="en-US"/>
        </w:rPr>
        <w:t xml:space="preserve">plete the annual fidelity assessments (Benchmarks of Quality and Self-Assessment Survey) at the Universal Level (see Fidelity below).  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</w:rPr>
        <w:t>Input: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>The following chart lists the trainings that have occurred from January through March, 2015 including satisfaction results.</w:t>
      </w:r>
      <w:r>
        <w:rPr>
          <w:rFonts w:ascii="Palatino"/>
          <w:rtl w:val="0"/>
          <w:lang w:val="en-US"/>
        </w:rPr>
        <w:t xml:space="preserve"> Ninety schools and 214 participants attended training during this quarter.</w:t>
      </w:r>
      <w:r>
        <w:rPr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274299</wp:posOffset>
            </wp:positionV>
            <wp:extent cx="6309283" cy="3541901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pdf"/>
                    <pic:cNvPicPr/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309283" cy="35419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>Fidelity: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 xml:space="preserve">VTPBiS Schools recently completed the annual Fidelity Assessments </w:t>
      </w:r>
      <w:r>
        <w:rPr>
          <w:rFonts w:hAnsi="Palatino" w:hint="default"/>
          <w:rtl w:val="0"/>
        </w:rPr>
        <w:t xml:space="preserve">– </w:t>
      </w:r>
      <w:r>
        <w:rPr>
          <w:rFonts w:ascii="Palatino"/>
          <w:rtl w:val="0"/>
          <w:lang w:val="en-US"/>
        </w:rPr>
        <w:t xml:space="preserve">Benchmarks of Quality (BoQ) and the Self-Assessment Survey (SAS).  Here is a summary of results: </w:t>
      </w:r>
    </w:p>
    <w:p>
      <w:pPr>
        <w:pStyle w:val="Free Form"/>
        <w:numPr>
          <w:ilvl w:val="2"/>
          <w:numId w:val="5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73% of VTPBiS Schools completed the annual Self-Assessment Survey (SAS)</w:t>
      </w:r>
    </w:p>
    <w:p>
      <w:pPr>
        <w:pStyle w:val="Free Form"/>
        <w:numPr>
          <w:ilvl w:val="2"/>
          <w:numId w:val="6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74% of VTPBiS Schools completed annual fidelity assessments (including the BoQ and Post-Implementation SET)</w:t>
      </w:r>
    </w:p>
    <w:p>
      <w:pPr>
        <w:pStyle w:val="Free Form"/>
        <w:numPr>
          <w:ilvl w:val="2"/>
          <w:numId w:val="7"/>
        </w:numPr>
        <w:bidi w:val="0"/>
        <w:spacing w:line="240" w:lineRule="auto"/>
        <w:ind w:left="720" w:right="0" w:hanging="240"/>
        <w:jc w:val="left"/>
        <w:rPr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84% of VTPBiS Schools reported meeting fidelity at the Universal Level of Implementation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Palatino"/>
          <w:rtl w:val="0"/>
          <w:lang w:val="en-US"/>
        </w:rPr>
        <w:t>The graph below shows the State Average % BoQ Score by Element for the past three years:</w:t>
      </w:r>
      <w:r>
        <w:rPr>
          <w:rFonts w:ascii="Palatino" w:cs="Palatino" w:hAnsi="Palatino" w:eastAsia="Palatino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margin">
              <wp:posOffset>-1865</wp:posOffset>
            </wp:positionH>
            <wp:positionV relativeFrom="line">
              <wp:posOffset>312223</wp:posOffset>
            </wp:positionV>
            <wp:extent cx="6300391" cy="323329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asted-image.pd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391" cy="323329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 xml:space="preserve">BoQ features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Defining Expectations</w:t>
      </w:r>
      <w:r>
        <w:rPr>
          <w:rFonts w:hAnsi="Palatino" w:hint="default"/>
          <w:rtl w:val="0"/>
        </w:rPr>
        <w:t>”</w:t>
      </w:r>
      <w:r>
        <w:rPr>
          <w:rFonts w:ascii="Palatino"/>
          <w:rtl w:val="0"/>
        </w:rPr>
        <w:t xml:space="preserve">,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Reward Systems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 xml:space="preserve">and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nl-NL"/>
        </w:rPr>
        <w:t>Classroom Implementation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 xml:space="preserve">have increased over the past three years. 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Faculty Commitment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 xml:space="preserve">and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fr-FR"/>
        </w:rPr>
        <w:t>Implementation Plan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>features are areas of need.  The Spring VTPBiS Regional Coordinators Meetings</w:t>
      </w:r>
      <w:r>
        <w:rPr>
          <w:rFonts w:hAnsi="Palatino" w:hint="default"/>
          <w:rtl w:val="0"/>
          <w:lang w:val="fr-FR"/>
        </w:rPr>
        <w:t xml:space="preserve">’ </w:t>
      </w:r>
      <w:r>
        <w:rPr>
          <w:rFonts w:ascii="Palatino"/>
          <w:rtl w:val="0"/>
          <w:lang w:val="en-US"/>
        </w:rPr>
        <w:t xml:space="preserve">agenda highlighted strategies for improvement in these areas. 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</w:rPr>
        <w:t>Impact:</w:t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>A recent review of office discipline referrals (ODRs) for schools using the School-Wide Information System (SWIS) revealed that the two top problem behaviors are physical aggression and non-compliance/defiance (see graph below).  The Spring VTPBiS Regional Coordinators Meetings</w:t>
      </w:r>
      <w:r>
        <w:rPr>
          <w:rFonts w:hAnsi="Palatino" w:hint="default"/>
          <w:rtl w:val="0"/>
          <w:lang w:val="fr-FR"/>
        </w:rPr>
        <w:t xml:space="preserve">’ </w:t>
      </w:r>
      <w:r>
        <w:rPr>
          <w:rFonts w:ascii="Palatino"/>
          <w:rtl w:val="0"/>
          <w:lang w:val="en-US"/>
        </w:rPr>
        <w:t xml:space="preserve">agenda highlighted strategies for improvement in these areas. </w:t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</w:pPr>
      <w:r>
        <w:rPr>
          <w:rFonts w:ascii="Helvetica"/>
          <w:b w:val="1"/>
          <w:bCs w:val="1"/>
          <w:sz w:val="28"/>
          <w:szCs w:val="28"/>
          <w:u w:val="single"/>
          <w:rtl w:val="0"/>
          <w:lang w:val="en-US"/>
        </w:rPr>
        <w:t>Sustainability:</w:t>
      </w:r>
      <w:r>
        <w:rPr>
          <w:rFonts w:ascii="Helvetica" w:cs="Helvetica" w:hAnsi="Helvetica" w:eastAsia="Helvetica"/>
          <w:b w:val="1"/>
          <w:bCs w:val="1"/>
          <w:sz w:val="28"/>
          <w:szCs w:val="28"/>
          <w:u w:val="single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685800</wp:posOffset>
            </wp:positionV>
            <wp:extent cx="6303685" cy="31875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pasted-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685" cy="3187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Helvetica" w:cs="Helvetica" w:hAnsi="Helvetica" w:eastAsia="Helvetica"/>
          <w:b w:val="1"/>
          <w:bCs w:val="1"/>
          <w:u w:val="single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Fonts w:ascii="Palatino" w:cs="Palatino" w:hAnsi="Palatino" w:eastAsia="Palatino"/>
          <w:rtl w:val="0"/>
        </w:rPr>
      </w:pPr>
      <w:r>
        <w:rPr>
          <w:rFonts w:ascii="Palatino"/>
          <w:rtl w:val="0"/>
          <w:lang w:val="en-US"/>
        </w:rPr>
        <w:t xml:space="preserve">VTPBiS SU/SD Coordinators recently completed the annual checklist indicating the extent to which they perform the functions needed to carry out this role.  Here are highlights.  </w:t>
      </w:r>
    </w:p>
    <w:p>
      <w:pPr>
        <w:pStyle w:val="Free Form"/>
        <w:numPr>
          <w:ilvl w:val="2"/>
          <w:numId w:val="8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mbria" w:cs="Cambria" w:hAnsi="Cambria" w:eastAsia="Cambria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50% of VTPBiS SU/SD Coordinators completed the checklist</w:t>
      </w:r>
    </w:p>
    <w:p>
      <w:pPr>
        <w:pStyle w:val="Free Form"/>
        <w:numPr>
          <w:ilvl w:val="2"/>
          <w:numId w:val="9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mbria" w:cs="Cambria" w:hAnsi="Cambria" w:eastAsia="Cambria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90% features are in place or partially in place</w:t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Palatino" w:cs="Palatino" w:hAnsi="Palatino" w:eastAsia="Palatino"/>
          <w:b w:val="1"/>
          <w:bCs w:val="1"/>
          <w:rtl w:val="0"/>
        </w:rPr>
      </w:pP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Palatino" w:cs="Palatino" w:hAnsi="Palatino" w:eastAsia="Palatino"/>
          <w:b w:val="1"/>
          <w:bCs w:val="1"/>
          <w:i w:val="1"/>
          <w:iCs w:val="1"/>
          <w:rtl w:val="0"/>
        </w:rPr>
      </w:pPr>
      <w:r>
        <w:rPr>
          <w:rFonts w:ascii="Palatino"/>
          <w:b w:val="1"/>
          <w:bCs w:val="1"/>
          <w:i w:val="1"/>
          <w:iCs w:val="1"/>
          <w:rtl w:val="0"/>
          <w:lang w:val="en-US"/>
        </w:rPr>
        <w:t>Strengths:</w:t>
      </w:r>
    </w:p>
    <w:p>
      <w:pPr>
        <w:pStyle w:val="Free Form"/>
        <w:numPr>
          <w:ilvl w:val="2"/>
          <w:numId w:val="10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VTPBiS SU/SD Coordinator is identified and endorsed by superintendent (96% fully or partially in place)</w:t>
      </w:r>
    </w:p>
    <w:p>
      <w:pPr>
        <w:pStyle w:val="Free Form"/>
        <w:numPr>
          <w:ilvl w:val="2"/>
          <w:numId w:val="11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VTPBiS SU/SD Coordinator facilitates the schools completion of annual PBIS assessments (100% fully or partially in place)</w:t>
      </w:r>
    </w:p>
    <w:p>
      <w:pPr>
        <w:pStyle w:val="Free Form"/>
        <w:numPr>
          <w:ilvl w:val="2"/>
          <w:numId w:val="12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VTPBiS SU/SD Coordinator ensures that schools have a data-based information system to make PBIS decisions</w:t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Palatino" w:cs="Palatino" w:hAnsi="Palatino" w:eastAsia="Palatino"/>
          <w:b w:val="1"/>
          <w:bCs w:val="1"/>
          <w:rtl w:val="0"/>
        </w:rPr>
      </w:pP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Palatino" w:cs="Palatino" w:hAnsi="Palatino" w:eastAsia="Palatino"/>
          <w:b w:val="1"/>
          <w:bCs w:val="1"/>
          <w:i w:val="1"/>
          <w:iCs w:val="1"/>
          <w:rtl w:val="0"/>
        </w:rPr>
      </w:pPr>
      <w:r>
        <w:rPr>
          <w:rFonts w:ascii="Palatino"/>
          <w:b w:val="1"/>
          <w:bCs w:val="1"/>
          <w:i w:val="1"/>
          <w:iCs w:val="1"/>
          <w:rtl w:val="0"/>
          <w:lang w:val="en-US"/>
        </w:rPr>
        <w:t>Areas of Need:</w:t>
      </w:r>
    </w:p>
    <w:p>
      <w:pPr>
        <w:pStyle w:val="Free Form"/>
        <w:numPr>
          <w:ilvl w:val="2"/>
          <w:numId w:val="13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nl-NL"/>
        </w:rPr>
        <w:t xml:space="preserve">VTPBiS SU/SD Coordinator participates in </w:t>
      </w:r>
      <w:r>
        <w:rPr>
          <w:rFonts w:hAnsi="Palatino" w:hint="default"/>
          <w:rtl w:val="0"/>
        </w:rPr>
        <w:t>“</w:t>
      </w:r>
      <w:r>
        <w:rPr>
          <w:rFonts w:ascii="Palatino"/>
          <w:rtl w:val="0"/>
          <w:lang w:val="en-US"/>
        </w:rPr>
        <w:t>Data Days</w:t>
      </w:r>
      <w:r>
        <w:rPr>
          <w:rFonts w:hAnsi="Palatino" w:hint="default"/>
          <w:rtl w:val="0"/>
        </w:rPr>
        <w:t xml:space="preserve">” </w:t>
      </w:r>
      <w:r>
        <w:rPr>
          <w:rFonts w:ascii="Palatino"/>
          <w:rtl w:val="0"/>
          <w:lang w:val="en-US"/>
        </w:rPr>
        <w:t>two times per year (60% fully or partially in place)</w:t>
      </w:r>
    </w:p>
    <w:p>
      <w:pPr>
        <w:pStyle w:val="Free Form"/>
        <w:numPr>
          <w:ilvl w:val="2"/>
          <w:numId w:val="14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VTPBiS SU/SD Coordinator creates a dissemination strategy to establish visibility of PBIS (80% fully or partially in place)</w:t>
      </w:r>
    </w:p>
    <w:p>
      <w:pPr>
        <w:pStyle w:val="Free Form"/>
        <w:numPr>
          <w:ilvl w:val="2"/>
          <w:numId w:val="15"/>
        </w:numPr>
        <w:tabs>
          <w:tab w:val="num" w:pos="720"/>
          <w:tab w:val="clear" w:pos="0"/>
        </w:tabs>
        <w:bidi w:val="0"/>
        <w:spacing w:line="240" w:lineRule="auto"/>
        <w:ind w:left="720" w:right="0" w:hanging="240"/>
        <w:jc w:val="left"/>
        <w:rPr>
          <w:rFonts w:ascii="Calibri" w:cs="Calibri" w:hAnsi="Calibri" w:eastAsia="Calibri"/>
          <w:position w:val="-2"/>
          <w:sz w:val="18"/>
          <w:szCs w:val="18"/>
          <w:rtl w:val="0"/>
        </w:rPr>
      </w:pPr>
      <w:r>
        <w:rPr>
          <w:rFonts w:ascii="Palatino"/>
          <w:rtl w:val="0"/>
          <w:lang w:val="en-US"/>
        </w:rPr>
        <w:t>VTPBiS SU/SD Coordinator establishes a SU/SD Team that meets two times per year (84% fully or partially in place)</w:t>
      </w:r>
    </w:p>
    <w:p>
      <w:pPr>
        <w:pStyle w:val="Free Form"/>
        <w:bidi w:val="0"/>
        <w:spacing w:line="240" w:lineRule="auto"/>
        <w:ind w:left="0" w:right="72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rPr>
          <w:rFonts w:ascii="Palatino"/>
          <w:rtl w:val="0"/>
          <w:lang w:val="en-US"/>
        </w:rPr>
        <w:t>See graph below for VTPBiS SU/SD Coordinators functions fully or partially in place:</w:t>
        <w:br w:type="textWrapping"/>
      </w:r>
      <w:r>
        <w:rPr>
          <w:rtl w:val="0"/>
        </w:rPr>
        <w:br w:type="page"/>
      </w:r>
    </w:p>
    <w:p>
      <w:pPr>
        <w:pStyle w:val="Free Form"/>
        <w:bidi w:val="0"/>
        <w:spacing w:line="240" w:lineRule="auto"/>
        <w:ind w:left="0" w:right="0" w:firstLine="0"/>
        <w:jc w:val="left"/>
        <w:rPr>
          <w:rtl w:val="0"/>
        </w:rPr>
      </w:pPr>
      <w: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731520</wp:posOffset>
            </wp:positionH>
            <wp:positionV relativeFrom="page">
              <wp:posOffset>685800</wp:posOffset>
            </wp:positionV>
            <wp:extent cx="6309360" cy="356415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pasted-image.pdf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35641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8"/>
      <w:footerReference w:type="default" r:id="rId9"/>
      <w:pgSz w:w="12240" w:h="15840" w:orient="portrait"/>
      <w:pgMar w:top="1080" w:right="1152" w:bottom="1656" w:left="1152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Palatino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tabs>
        <w:tab w:val="center" w:pos="4968"/>
        <w:tab w:val="right" w:pos="9936"/>
      </w:tabs>
      <w:spacing w:before="60" w:after="60" w:line="240" w:lineRule="auto"/>
      <w:ind w:firstLine="0"/>
      <w:jc w:val="left"/>
    </w:pPr>
    <w:r>
      <w:rPr>
        <w:rFonts w:ascii="Helvetica"/>
        <w:caps w:val="1"/>
        <w:color w:val="008cb4"/>
        <w:sz w:val="20"/>
        <w:szCs w:val="20"/>
        <w:rtl w:val="0"/>
        <w:lang w:val="en-US"/>
      </w:rPr>
      <w:t>VTPBiS QUARTERLY Report</w:t>
    </w:r>
    <w:r>
      <w:rPr>
        <w:rFonts w:ascii="Helvetica"/>
        <w:caps w:val="1"/>
        <w:color w:val="008cb4"/>
        <w:sz w:val="20"/>
        <w:szCs w:val="20"/>
        <w:rtl w:val="0"/>
      </w:rPr>
      <w:t xml:space="preserve"> </w:t>
    </w:r>
    <w:r>
      <w:rPr>
        <w:rFonts w:ascii="Helvetica"/>
        <w:caps w:val="1"/>
        <w:color w:val="008cb4"/>
        <w:sz w:val="20"/>
        <w:szCs w:val="20"/>
        <w:rtl w:val="0"/>
      </w:rPr>
      <w:t>-</w:t>
    </w:r>
    <w:r>
      <w:rPr>
        <w:rFonts w:ascii="Helvetica"/>
        <w:caps w:val="1"/>
        <w:color w:val="008cb4"/>
        <w:sz w:val="20"/>
        <w:szCs w:val="20"/>
        <w:rtl w:val="0"/>
      </w:rPr>
      <w:t xml:space="preserve"> </w:t>
    </w:r>
    <w:r>
      <w:rPr>
        <w:rFonts w:ascii="Helvetica"/>
        <w:caps w:val="1"/>
        <w:color w:val="008cb4"/>
        <w:sz w:val="20"/>
        <w:szCs w:val="20"/>
        <w:rtl w:val="0"/>
        <w:lang w:val="en-US"/>
      </w:rPr>
      <w:t>April 2015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ab/>
      <w:tab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begin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 xml:space="preserve"> PAGE 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separate" w:fldLock="0"/>
    </w:r>
    <w:r>
      <w:rPr>
        <w:rFonts w:ascii="Helvetica" w:cs="Helvetica" w:hAnsi="Helvetica" w:eastAsia="Helvetica"/>
        <w:caps w:val="1"/>
        <w:color w:val="008cb4"/>
        <w:sz w:val="20"/>
        <w:szCs w:val="20"/>
      </w:rPr>
      <w:t>4</w:t>
    </w:r>
    <w:r>
      <w:rPr>
        <w:rFonts w:ascii="Helvetica" w:cs="Helvetica" w:hAnsi="Helvetica" w:eastAsia="Helvetica"/>
        <w:caps w:val="1"/>
        <w:color w:val="008cb4"/>
        <w:sz w:val="20"/>
        <w:szCs w:val="2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444500</wp:posOffset>
              </wp:positionV>
              <wp:extent cx="6303685" cy="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7.6pt;margin-top:35.0pt;width:496.4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736600</wp:posOffset>
              </wp:positionH>
              <wp:positionV relativeFrom="page">
                <wp:posOffset>9271000</wp:posOffset>
              </wp:positionV>
              <wp:extent cx="6303685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03685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8CB4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58.0pt;margin-top:730.0pt;width:496.4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8CB4" opacity="100.0%" weight="0.8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1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2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3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4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5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6">
    <w:multiLevelType w:val="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238"/>
          <w:tab w:val="clear" w:pos="0"/>
        </w:tabs>
        <w:ind w:left="238" w:hanging="238"/>
      </w:pPr>
      <w:rPr>
        <w:color w:val="008cb4"/>
        <w:position w:val="-2"/>
        <w:rtl w:val="0"/>
      </w:rPr>
    </w:lvl>
    <w:lvl w:ilvl="1">
      <w:start w:val="1"/>
      <w:numFmt w:val="bullet"/>
      <w:suff w:val="tab"/>
      <w:lvlText w:val="•"/>
      <w:lvlJc w:val="left"/>
      <w:pPr>
        <w:tabs>
          <w:tab w:val="num" w:pos="480"/>
          <w:tab w:val="clear" w:pos="0"/>
        </w:tabs>
        <w:ind w:left="480" w:hanging="240"/>
      </w:pPr>
      <w:rPr>
        <w:color w:val="008cb4"/>
        <w:position w:val="-2"/>
        <w:rtl w:val="0"/>
      </w:rPr>
    </w:lvl>
    <w:lvl w:ilvl="2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240"/>
      </w:pPr>
      <w:rPr>
        <w:color w:val="008cb4"/>
        <w:position w:val="-2"/>
        <w:rtl w:val="0"/>
      </w:rPr>
    </w:lvl>
    <w:lvl w:ilvl="3">
      <w:start w:val="1"/>
      <w:numFmt w:val="bullet"/>
      <w:suff w:val="tab"/>
      <w:lvlText w:val="•"/>
      <w:lvlJc w:val="left"/>
      <w:pPr>
        <w:tabs>
          <w:tab w:val="num" w:pos="960"/>
          <w:tab w:val="clear" w:pos="0"/>
        </w:tabs>
        <w:ind w:left="960" w:hanging="240"/>
      </w:pPr>
      <w:rPr>
        <w:color w:val="008cb4"/>
        <w:position w:val="-2"/>
        <w:rtl w:val="0"/>
      </w:rPr>
    </w:lvl>
    <w:lvl w:ilvl="4">
      <w:start w:val="1"/>
      <w:numFmt w:val="bullet"/>
      <w:suff w:val="tab"/>
      <w:lvlText w:val="•"/>
      <w:lvlJc w:val="left"/>
      <w:pPr>
        <w:tabs>
          <w:tab w:val="num" w:pos="1200"/>
          <w:tab w:val="clear" w:pos="0"/>
        </w:tabs>
        <w:ind w:left="1200" w:hanging="240"/>
      </w:pPr>
      <w:rPr>
        <w:color w:val="008cb4"/>
        <w:position w:val="-2"/>
        <w:rtl w:val="0"/>
      </w:rPr>
    </w:lvl>
    <w:lvl w:ilvl="5">
      <w:start w:val="1"/>
      <w:numFmt w:val="bullet"/>
      <w:suff w:val="tab"/>
      <w:lvlText w:val="•"/>
      <w:lvlJc w:val="left"/>
      <w:pPr>
        <w:tabs>
          <w:tab w:val="num" w:pos="1440"/>
          <w:tab w:val="clear" w:pos="0"/>
        </w:tabs>
        <w:ind w:left="1440" w:hanging="240"/>
      </w:pPr>
      <w:rPr>
        <w:color w:val="008cb4"/>
        <w:position w:val="-2"/>
        <w:rtl w:val="0"/>
      </w:rPr>
    </w:lvl>
    <w:lvl w:ilvl="6">
      <w:start w:val="1"/>
      <w:numFmt w:val="bullet"/>
      <w:suff w:val="tab"/>
      <w:lvlText w:val="•"/>
      <w:lvlJc w:val="left"/>
      <w:pPr>
        <w:tabs>
          <w:tab w:val="num" w:pos="1680"/>
          <w:tab w:val="clear" w:pos="0"/>
        </w:tabs>
        <w:ind w:left="1680" w:hanging="240"/>
      </w:pPr>
      <w:rPr>
        <w:color w:val="008cb4"/>
        <w:position w:val="-2"/>
        <w:rtl w:val="0"/>
      </w:rPr>
    </w:lvl>
    <w:lvl w:ilvl="7">
      <w:start w:val="1"/>
      <w:numFmt w:val="bullet"/>
      <w:suff w:val="tab"/>
      <w:lvlText w:val="•"/>
      <w:lvlJc w:val="left"/>
      <w:pPr>
        <w:tabs>
          <w:tab w:val="num" w:pos="1920"/>
          <w:tab w:val="clear" w:pos="0"/>
        </w:tabs>
        <w:ind w:left="1920" w:hanging="240"/>
      </w:pPr>
      <w:rPr>
        <w:color w:val="008cb4"/>
        <w:position w:val="-2"/>
        <w:rtl w:val="0"/>
      </w:rPr>
    </w:lvl>
    <w:lvl w:ilvl="8">
      <w:start w:val="1"/>
      <w:numFmt w:val="bullet"/>
      <w:suff w:val="tab"/>
      <w:lvlText w:val="•"/>
      <w:lvlJc w:val="left"/>
      <w:pPr>
        <w:tabs>
          <w:tab w:val="num" w:pos="2160"/>
          <w:tab w:val="clear" w:pos="0"/>
        </w:tabs>
        <w:ind w:left="2160" w:hanging="240"/>
      </w:pPr>
      <w:rPr>
        <w:color w:val="008cb4"/>
        <w:position w:val="-2"/>
        <w:rtl w:val="0"/>
      </w:rPr>
    </w:lvl>
  </w:abstractNum>
  <w:abstractNum w:abstractNumId="7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mbria" w:cs="Cambria" w:hAnsi="Cambria" w:eastAsia="Cambria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8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mbria" w:cs="Cambria" w:hAnsi="Cambria" w:eastAsia="Cambria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9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10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11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12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13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abstractNum w:abstractNumId="14">
    <w:multiLevelType w:val="multilevel"/>
    <w:styleLink w:val="Bullet"/>
    <w:lvl w:ilvl="0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1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2">
      <w:start w:val="0"/>
      <w:numFmt w:val="bullet"/>
      <w:suff w:val="tab"/>
      <w:lvlText w:val="•"/>
      <w:lvlJc w:val="left"/>
      <w:pPr/>
      <w:rPr>
        <w:rFonts w:ascii="Calibri" w:cs="Calibri" w:hAnsi="Calibri" w:eastAsia="Calibri"/>
        <w:color w:val="008cb4"/>
        <w:position w:val="-2"/>
      </w:rPr>
    </w:lvl>
    <w:lvl w:ilvl="3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4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5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6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7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  <w:lvl w:ilvl="8">
      <w:start w:val="1"/>
      <w:numFmt w:val="bullet"/>
      <w:suff w:val="tab"/>
      <w:lvlText w:val="•"/>
      <w:lvlJc w:val="left"/>
      <w:pPr/>
      <w:rPr>
        <w:rFonts w:ascii="Palatino" w:cs="Palatino" w:hAnsi="Palatino" w:eastAsia="Palatino"/>
        <w:color w:val="008cb4"/>
        <w:position w:val="-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60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20" w:after="300" w:line="192" w:lineRule="auto"/>
      <w:ind w:left="0" w:right="0" w:firstLine="0"/>
      <w:jc w:val="left"/>
      <w:outlineLvl w:val="9"/>
    </w:pPr>
    <w:rPr>
      <w:rFonts w:ascii="Dido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8cb4"/>
      <w:spacing w:val="-8"/>
      <w:kern w:val="0"/>
      <w:position w:val="0"/>
      <w:sz w:val="84"/>
      <w:szCs w:val="84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alatino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Subtitle">
    <w:name w:val="Sub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65452"/>
      <w:spacing w:val="7"/>
      <w:kern w:val="0"/>
      <w:position w:val="0"/>
      <w:sz w:val="36"/>
      <w:szCs w:val="36"/>
      <w:u w:val="none"/>
      <w:vertAlign w:val="baseline"/>
      <w:lang w:val="en-US"/>
    </w:rPr>
  </w:style>
  <w:style w:type="numbering" w:styleId="Bullet">
    <w:name w:val="Bullet"/>
    <w:next w:val="Bullet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9_School_Report">
  <a:themeElements>
    <a:clrScheme name="09_School_Report">
      <a:dk1>
        <a:srgbClr val="FFFFFF"/>
      </a:dk1>
      <a:lt1>
        <a:srgbClr val="008CB4"/>
      </a:lt1>
      <a:dk2>
        <a:srgbClr val="5B5B5B"/>
      </a:dk2>
      <a:lt2>
        <a:srgbClr val="C9C9C9"/>
      </a:lt2>
      <a:accent1>
        <a:srgbClr val="008CB4"/>
      </a:accent1>
      <a:accent2>
        <a:srgbClr val="8EC44C"/>
      </a:accent2>
      <a:accent3>
        <a:srgbClr val="FFA72B"/>
      </a:accent3>
      <a:accent4>
        <a:srgbClr val="E3504B"/>
      </a:accent4>
      <a:accent5>
        <a:srgbClr val="8687C9"/>
      </a:accent5>
      <a:accent6>
        <a:srgbClr val="A89F97"/>
      </a:accent6>
      <a:hlink>
        <a:srgbClr val="0000FF"/>
      </a:hlink>
      <a:folHlink>
        <a:srgbClr val="FF00FF"/>
      </a:folHlink>
    </a:clrScheme>
    <a:fontScheme name="09_School_Report">
      <a:majorFont>
        <a:latin typeface="Didot"/>
        <a:ea typeface="Didot"/>
        <a:cs typeface="Didot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EC44C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175" cap="flat">
          <a:solidFill>
            <a:srgbClr val="57545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alatino"/>
            <a:ea typeface="Palatino"/>
            <a:cs typeface="Palatino"/>
            <a:sym typeface="Palatino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